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5"/>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产品碳足迹  产品种类规则  玻璃纤维连续缠绕制品</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snapToGrid w:val="0"/>
              <w:spacing w:line="360" w:lineRule="auto"/>
              <w:rPr>
                <w:rFonts w:hint="eastAsia" w:ascii="宋体" w:hAnsi="宋体" w:eastAsia="宋体"/>
                <w:sz w:val="18"/>
                <w:szCs w:val="18"/>
              </w:rPr>
            </w:pPr>
            <w:r>
              <w:rPr>
                <w:sz w:val="18"/>
              </w:rPr>
              <w:t>Product Carbon Footprint  Product Type Rules  Glass fiber continuous winding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default" w:ascii="Arial" w:hAnsi="Arial" w:eastAsia="宋体" w:cs="Arial"/>
                <w:sz w:val="18"/>
                <w:szCs w:val="18"/>
              </w:rPr>
              <w:t>√</w:t>
            </w:r>
            <w:r>
              <w:rPr>
                <w:rFonts w:hint="eastAsia" w:ascii="宋体" w:hAnsi="宋体" w:eastAsia="宋体"/>
                <w:sz w:val="18"/>
                <w:szCs w:val="18"/>
              </w:rPr>
              <w:t xml:space="preserve"> 制定</w:t>
            </w:r>
          </w:p>
        </w:tc>
        <w:tc>
          <w:tcPr>
            <w:tcW w:w="146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92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pPr>
              <w:snapToGrid w:val="0"/>
              <w:spacing w:line="360" w:lineRule="auto"/>
              <w:rPr>
                <w:rFonts w:hint="eastAsia" w:ascii="宋体" w:hAnsi="宋体" w:eastAsia="宋体"/>
                <w:sz w:val="18"/>
                <w:szCs w:val="18"/>
              </w:rPr>
            </w:pP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83.120</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中纤复材再生资源咨询服务（北京）有限公司</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snapToGrid w:val="0"/>
              <w:spacing w:line="360" w:lineRule="auto"/>
              <w:rPr>
                <w:rFonts w:hint="eastAsia" w:ascii="宋体" w:hAnsi="宋体" w:eastAsia="宋体"/>
                <w:sz w:val="18"/>
                <w:szCs w:val="18"/>
              </w:rPr>
            </w:pPr>
          </w:p>
          <w:p>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 xml:space="preserve">2021年10月26日，国务院发布《2030年前碳达峰行动方案》（国发〔2021〕23号），文件提出要“完善工业绿色低碳标准体系。建立重点企业碳排放核算报告、核查等标准，探索建立重点产品全生命周期碳足迹标准。积极参与国际能效、低碳等标准制定修订，加强国际标准协调。” </w:t>
            </w:r>
          </w:p>
          <w:p>
            <w:pPr>
              <w:snapToGrid w:val="0"/>
              <w:spacing w:line="360" w:lineRule="auto"/>
              <w:ind w:firstLine="360" w:firstLineChars="200"/>
              <w:rPr>
                <w:rFonts w:hint="eastAsia" w:ascii="宋体" w:hAnsi="宋体" w:eastAsia="宋体"/>
                <w:sz w:val="18"/>
                <w:szCs w:val="18"/>
              </w:rPr>
            </w:pPr>
            <w:r>
              <w:rPr>
                <w:rFonts w:hint="default" w:ascii="宋体" w:hAnsi="宋体" w:eastAsia="宋体"/>
                <w:sz w:val="18"/>
                <w:szCs w:val="18"/>
              </w:rPr>
              <w:t>2022年4月7日</w:t>
            </w:r>
            <w:r>
              <w:rPr>
                <w:rFonts w:hint="eastAsia" w:ascii="宋体" w:hAnsi="宋体" w:eastAsia="宋体"/>
                <w:sz w:val="18"/>
                <w:szCs w:val="18"/>
              </w:rPr>
              <w:t>，工信部等</w:t>
            </w:r>
            <w:r>
              <w:rPr>
                <w:rFonts w:hint="eastAsia" w:ascii="宋体" w:hAnsi="宋体" w:eastAsia="宋体"/>
                <w:sz w:val="18"/>
                <w:szCs w:val="18"/>
                <w:lang w:val="en-US" w:eastAsia="zh-CN"/>
              </w:rPr>
              <w:t>几</w:t>
            </w:r>
            <w:r>
              <w:rPr>
                <w:rFonts w:hint="eastAsia" w:ascii="宋体" w:hAnsi="宋体" w:eastAsia="宋体"/>
                <w:sz w:val="18"/>
                <w:szCs w:val="18"/>
              </w:rPr>
              <w:t>部门联合下发《</w:t>
            </w:r>
            <w:r>
              <w:rPr>
                <w:rFonts w:hint="default" w:ascii="宋体" w:hAnsi="宋体" w:eastAsia="宋体"/>
                <w:sz w:val="18"/>
                <w:szCs w:val="18"/>
              </w:rPr>
              <w:t>关于“十四五”推动石化化工行业高质量发展的指导意见</w:t>
            </w:r>
            <w:r>
              <w:rPr>
                <w:rFonts w:hint="eastAsia" w:ascii="宋体" w:hAnsi="宋体" w:eastAsia="宋体"/>
                <w:sz w:val="18"/>
                <w:szCs w:val="18"/>
              </w:rPr>
              <w:t>》（工信部联原〔2022〕34号），文件要求“</w:t>
            </w:r>
            <w:r>
              <w:rPr>
                <w:rFonts w:hint="default" w:ascii="宋体" w:hAnsi="宋体" w:eastAsia="宋体"/>
                <w:sz w:val="18"/>
                <w:szCs w:val="18"/>
              </w:rPr>
              <w:t>建立完善化工新材料特别是改性专用料、精细化学品尤其是专用化学品等标准体系，生物基材料、生物可降解塑料、再生塑料材料评价标识管理体系，绿色用能监测与评价体系。探索基于碳足迹制修订含碳化工产品碳排放核算以及低碳产品评价等标准。参与全球标准规则制定，加强国际标准评估转化。</w:t>
            </w:r>
            <w:r>
              <w:rPr>
                <w:rFonts w:hint="eastAsia" w:ascii="宋体" w:hAnsi="宋体" w:eastAsia="宋体"/>
                <w:sz w:val="18"/>
                <w:szCs w:val="18"/>
              </w:rPr>
              <w:t>”</w:t>
            </w:r>
          </w:p>
          <w:p>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国家产品碳标识认证制度全面建立，碳标识得到企业和消费者的普遍认同，主要产品碳足迹核算规则、标准和碳标识得到国际广泛认可，产品碳足迹管理体系为经济社会发展全面绿色转型提供有力保障。”</w:t>
            </w:r>
          </w:p>
          <w:p>
            <w:pPr>
              <w:snapToGrid w:val="0"/>
              <w:spacing w:line="360" w:lineRule="auto"/>
              <w:ind w:firstLine="360" w:firstLineChars="200"/>
              <w:rPr>
                <w:rFonts w:hint="eastAsia" w:ascii="宋体" w:hAnsi="宋体" w:eastAsia="宋体"/>
                <w:sz w:val="18"/>
                <w:szCs w:val="18"/>
                <w:lang w:val="en-US" w:eastAsia="zh-CN"/>
              </w:rPr>
            </w:pPr>
            <w:r>
              <w:rPr>
                <w:rFonts w:hint="eastAsia" w:ascii="宋体" w:hAnsi="宋体" w:eastAsia="宋体"/>
                <w:sz w:val="18"/>
                <w:szCs w:val="18"/>
              </w:rPr>
              <w:t>缠绕工艺是将浸过树脂胶液的连续纤维按照一定规律缠绕到芯模上，</w:t>
            </w:r>
            <w:r>
              <w:rPr>
                <w:rFonts w:hint="eastAsia" w:ascii="宋体" w:hAnsi="宋体" w:eastAsia="宋体"/>
                <w:sz w:val="18"/>
                <w:szCs w:val="18"/>
                <w:lang w:val="en-US" w:eastAsia="zh-CN"/>
              </w:rPr>
              <w:t>然</w:t>
            </w:r>
            <w:r>
              <w:rPr>
                <w:rFonts w:hint="eastAsia" w:ascii="宋体" w:hAnsi="宋体" w:eastAsia="宋体"/>
                <w:sz w:val="18"/>
                <w:szCs w:val="18"/>
              </w:rPr>
              <w:t>后经过固化、脱模，获得制品。其中的原材料涉及玻璃纤维和树脂，玻璃纤维需要经过原料、熔制、成形、制品阶段，过程中包含高温熔制，需要消耗大量的天然气和电力能源。树脂是石油化工中经过常减压蒸馏、催化裂化、加氢裂化、加氢精制等工艺生产的有机化学品，再经过加成、缩聚等反应制成的终产物，过程中包含高温加热、加压，同样需要消耗大量的天然气和电力能源。</w:t>
            </w:r>
            <w:r>
              <w:rPr>
                <w:rFonts w:hint="eastAsia" w:ascii="宋体" w:hAnsi="宋体" w:eastAsia="宋体"/>
                <w:sz w:val="18"/>
                <w:szCs w:val="18"/>
                <w:lang w:val="en-US" w:eastAsia="zh-CN"/>
              </w:rPr>
              <w:t>复合材料缠绕制品整个生命周期体统边界如下图所示：</w:t>
            </w:r>
          </w:p>
          <w:p>
            <w:pPr>
              <w:pStyle w:val="2"/>
              <w:rPr>
                <w:rFonts w:hint="eastAsia"/>
              </w:rPr>
            </w:pPr>
            <w:r>
              <w:rPr>
                <w:rFonts w:hint="eastAsia" w:eastAsia="宋体"/>
                <w:sz w:val="18"/>
                <w:lang w:eastAsia="zh-CN"/>
              </w:rPr>
              <w:drawing>
                <wp:inline distT="0" distB="0" distL="114300" distR="114300">
                  <wp:extent cx="4695190" cy="2879725"/>
                  <wp:effectExtent l="0" t="0" r="13970" b="635"/>
                  <wp:docPr id="1" name="图片 1" descr="170503183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5031832175"/>
                          <pic:cNvPicPr>
                            <a:picLocks noChangeAspect="1"/>
                          </pic:cNvPicPr>
                        </pic:nvPicPr>
                        <pic:blipFill>
                          <a:blip r:embed="rId6"/>
                          <a:stretch>
                            <a:fillRect/>
                          </a:stretch>
                        </pic:blipFill>
                        <pic:spPr>
                          <a:xfrm>
                            <a:off x="0" y="0"/>
                            <a:ext cx="4695190" cy="2879725"/>
                          </a:xfrm>
                          <a:prstGeom prst="rect">
                            <a:avLst/>
                          </a:prstGeom>
                        </pic:spPr>
                      </pic:pic>
                    </a:graphicData>
                  </a:graphic>
                </wp:inline>
              </w:drawing>
            </w:r>
          </w:p>
          <w:p>
            <w:pPr>
              <w:pStyle w:val="2"/>
              <w:spacing w:line="240" w:lineRule="auto"/>
              <w:ind w:firstLine="360" w:firstLineChars="200"/>
              <w:rPr>
                <w:rFonts w:hint="default" w:ascii="Times New Roman" w:hAnsi="Times New Roman" w:eastAsia="宋体"/>
                <w:b w:val="0"/>
                <w:sz w:val="18"/>
                <w:szCs w:val="24"/>
              </w:rPr>
            </w:pPr>
            <w:r>
              <w:rPr>
                <w:rFonts w:hint="eastAsia" w:ascii="Times New Roman" w:hAnsi="Times New Roman" w:eastAsia="宋体"/>
                <w:b w:val="0"/>
                <w:sz w:val="18"/>
                <w:szCs w:val="24"/>
              </w:rPr>
              <w:t>根据中国巨石官网数据，通过计算得到2</w:t>
            </w:r>
            <w:r>
              <w:rPr>
                <w:rFonts w:hint="default" w:ascii="Times New Roman" w:hAnsi="Times New Roman" w:eastAsia="宋体"/>
                <w:b w:val="0"/>
                <w:sz w:val="18"/>
                <w:szCs w:val="24"/>
              </w:rPr>
              <w:t>022</w:t>
            </w:r>
            <w:r>
              <w:rPr>
                <w:rFonts w:hint="eastAsia" w:ascii="Times New Roman" w:hAnsi="Times New Roman" w:eastAsia="宋体"/>
                <w:b w:val="0"/>
                <w:sz w:val="18"/>
                <w:szCs w:val="24"/>
              </w:rPr>
              <w:t>年，玻纤制备过程中产生的碳排放量约为0</w:t>
            </w:r>
            <w:r>
              <w:rPr>
                <w:rFonts w:hint="default" w:ascii="Times New Roman" w:hAnsi="Times New Roman" w:eastAsia="宋体"/>
                <w:b w:val="0"/>
                <w:sz w:val="18"/>
                <w:szCs w:val="24"/>
              </w:rPr>
              <w:t>.39</w:t>
            </w:r>
            <w:r>
              <w:rPr>
                <w:rFonts w:hint="eastAsia" w:ascii="Times New Roman" w:hAnsi="Times New Roman" w:eastAsia="宋体"/>
                <w:b w:val="0"/>
                <w:sz w:val="18"/>
                <w:szCs w:val="24"/>
              </w:rPr>
              <w:t>亿吨。</w:t>
            </w:r>
            <w:r>
              <w:rPr>
                <w:rFonts w:hint="eastAsia" w:ascii="Times New Roman" w:hAnsi="Times New Roman" w:eastAsia="宋体"/>
                <w:b w:val="0"/>
                <w:sz w:val="18"/>
                <w:szCs w:val="24"/>
                <w:lang w:val="en-US" w:eastAsia="zh-CN"/>
              </w:rPr>
              <w:t>树脂属于</w:t>
            </w:r>
            <w:r>
              <w:rPr>
                <w:rFonts w:hint="eastAsia" w:ascii="Times New Roman" w:hAnsi="Times New Roman" w:eastAsia="宋体"/>
                <w:b w:val="0"/>
                <w:sz w:val="18"/>
                <w:szCs w:val="24"/>
              </w:rPr>
              <w:t>石化行业</w:t>
            </w:r>
            <w:r>
              <w:rPr>
                <w:rFonts w:hint="eastAsia" w:ascii="Times New Roman" w:hAnsi="Times New Roman" w:eastAsia="宋体"/>
                <w:b w:val="0"/>
                <w:sz w:val="18"/>
                <w:szCs w:val="24"/>
                <w:lang w:eastAsia="zh-CN"/>
              </w:rPr>
              <w:t>，</w:t>
            </w:r>
            <w:r>
              <w:rPr>
                <w:rFonts w:hint="eastAsia" w:ascii="Times New Roman" w:hAnsi="Times New Roman" w:eastAsia="宋体"/>
                <w:b w:val="0"/>
                <w:sz w:val="18"/>
                <w:szCs w:val="24"/>
                <w:lang w:val="en-US" w:eastAsia="zh-CN"/>
              </w:rPr>
              <w:t>是</w:t>
            </w:r>
            <w:r>
              <w:rPr>
                <w:rFonts w:hint="eastAsia" w:ascii="Times New Roman" w:hAnsi="Times New Roman" w:eastAsia="宋体"/>
                <w:b w:val="0"/>
                <w:sz w:val="18"/>
                <w:szCs w:val="24"/>
              </w:rPr>
              <w:t>国家碳减排八大重点行业之一，</w:t>
            </w:r>
            <w:r>
              <w:rPr>
                <w:rFonts w:hint="default" w:ascii="Times New Roman" w:hAnsi="Times New Roman" w:eastAsia="宋体"/>
                <w:b w:val="0"/>
                <w:sz w:val="18"/>
                <w:szCs w:val="24"/>
              </w:rPr>
              <w:t>在生产过程中排放的二氧化碳约占全国碳排放总量的8.16%，</w:t>
            </w:r>
            <w:r>
              <w:rPr>
                <w:rFonts w:hint="eastAsia" w:ascii="Times New Roman" w:hAnsi="Times New Roman" w:eastAsia="宋体"/>
                <w:b w:val="0"/>
                <w:sz w:val="18"/>
                <w:szCs w:val="24"/>
              </w:rPr>
              <w:t>约为</w:t>
            </w:r>
            <w:r>
              <w:rPr>
                <w:rFonts w:hint="default" w:ascii="Times New Roman" w:hAnsi="Times New Roman" w:eastAsia="宋体"/>
                <w:b w:val="0"/>
                <w:sz w:val="18"/>
                <w:szCs w:val="24"/>
              </w:rPr>
              <w:t>14.5亿吨。</w:t>
            </w:r>
          </w:p>
          <w:p>
            <w:pPr>
              <w:pStyle w:val="2"/>
              <w:spacing w:line="240" w:lineRule="auto"/>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复合材料连续缠绕制品制备过程中主要碳排放是外供应电力的排放，考虑产品整个生命周期的产品碳足迹，主要碳排放来源包括原材料阶段的消耗的天然气和电力的排放、产品生产阶段的净购入电力排放、产品运输阶段化石燃料燃烧的排放、废弃阶段产品收集运输燃料燃烧排放及处理过程中电力消耗的排放。</w:t>
            </w:r>
          </w:p>
          <w:p>
            <w:pPr>
              <w:pStyle w:val="2"/>
              <w:spacing w:line="240" w:lineRule="auto"/>
              <w:ind w:firstLine="360" w:firstLineChars="200"/>
              <w:rPr>
                <w:rFonts w:ascii="Times New Roman" w:hAnsi="Times New Roman" w:eastAsia="宋体"/>
                <w:b w:val="0"/>
                <w:sz w:val="18"/>
                <w:szCs w:val="24"/>
              </w:rPr>
            </w:pPr>
            <w:r>
              <w:rPr>
                <w:rFonts w:hint="eastAsia" w:ascii="Times New Roman" w:hAnsi="Times New Roman" w:eastAsia="宋体"/>
                <w:b w:val="0"/>
                <w:sz w:val="18"/>
                <w:szCs w:val="24"/>
              </w:rPr>
              <w:t>2022年，全国碳市场迈入第二个履约</w:t>
            </w:r>
            <w:r>
              <w:rPr>
                <w:rFonts w:ascii="Times New Roman" w:hAnsi="Times New Roman" w:eastAsia="宋体"/>
                <w:b w:val="0"/>
                <w:sz w:val="18"/>
                <w:szCs w:val="24"/>
              </w:rPr>
              <w:t>周期，全年共运行50周（242个交易日），碳排放配额年度成交量5088.95万吨，年度成交额28.14亿元，成交均价为45.61元/吨。</w:t>
            </w:r>
            <w:r>
              <w:rPr>
                <w:rFonts w:hint="eastAsia" w:ascii="Times New Roman" w:hAnsi="Times New Roman" w:eastAsia="宋体"/>
                <w:b w:val="0"/>
                <w:sz w:val="18"/>
                <w:szCs w:val="24"/>
              </w:rPr>
              <w:t>完成企业产品碳足迹核算，为企业碳排放核算提供数据支撑，为纳入碳市场企业提供交易机会及收入。</w:t>
            </w:r>
          </w:p>
          <w:p>
            <w:pPr>
              <w:ind w:firstLine="360" w:firstLineChars="200"/>
              <w:rPr>
                <w:rFonts w:hint="eastAsia"/>
              </w:rPr>
            </w:pPr>
            <w:r>
              <w:rPr>
                <w:rFonts w:hint="eastAsia" w:ascii="Times New Roman" w:hAnsi="Times New Roman" w:eastAsia="宋体"/>
                <w:b w:val="0"/>
                <w:sz w:val="18"/>
                <w:szCs w:val="24"/>
              </w:rPr>
              <w:t>复合材料行业作为国民经济的支柱行业，虽然不是国家碳减排重点行业，但在国家大力推进“双碳”政策的趋势下，对于行业不同成型工艺的减碳行动势在必行。有效核算玻璃纤维连续缠绕制品碳足迹，可以剖析企业与产品各生命周期阶段的碳排放量，再国家减碳政策推动下，寻找减碳的机会，确认产品重点排放环节，寻求减碳增效措施。企业可以提早制定碳相关管理措施，也可以提升公司产品形象，增加市场竞争力，同时也是企业响应国家“碳达峰、碳中和”的社会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本标准主要玻璃纤维连续缠绕制品产品碳足迹的术语与定义、总则、产品描述、产品碳足迹的系统边界、核算数据收集进行了规定。</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 xml:space="preserve">1. </w:t>
            </w:r>
            <w:r>
              <w:rPr>
                <w:rFonts w:hint="eastAsia" w:ascii="Times New Roman" w:hAnsi="Times New Roman" w:eastAsia="宋体"/>
                <w:b w:val="0"/>
                <w:sz w:val="18"/>
                <w:szCs w:val="24"/>
              </w:rPr>
              <w:t>从原材料来源到最终产品回收利用，确认产品整个生命周期各阶段范围；</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2. 确认产品生命周期系统边界以及生命周期内各阶段生产工序；</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3. 给出数据收集规则、数据分配原则及数据取舍原则；</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4. 收集产品生命周期各阶段温室气体排放数据；</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5. 根据确认的排放源及收集的数据生成碳足迹报告。</w:t>
            </w:r>
          </w:p>
          <w:p>
            <w:pPr>
              <w:ind w:firstLine="360" w:firstLineChars="200"/>
              <w:rPr>
                <w:rFonts w:hint="eastAsia" w:ascii="宋体" w:hAnsi="宋体" w:eastAsia="宋体"/>
                <w:sz w:val="18"/>
                <w:szCs w:val="18"/>
              </w:rPr>
            </w:pPr>
            <w:r>
              <w:rPr>
                <w:rFonts w:hint="eastAsia" w:ascii="Times New Roman" w:hAnsi="Times New Roman" w:eastAsia="宋体"/>
                <w:b w:val="0"/>
                <w:sz w:val="18"/>
                <w:szCs w:val="24"/>
              </w:rPr>
              <w:t>本标准适用于玻璃纤维连续缠绕制品的碳足迹核算。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numPr>
                <w:ilvl w:val="0"/>
                <w:numId w:val="1"/>
              </w:numPr>
              <w:rPr>
                <w:rFonts w:hint="eastAsia" w:ascii="Times New Roman" w:hAnsi="Times New Roman" w:eastAsia="宋体"/>
                <w:b w:val="0"/>
                <w:sz w:val="18"/>
                <w:szCs w:val="24"/>
              </w:rPr>
            </w:pPr>
            <w:r>
              <w:rPr>
                <w:rFonts w:hint="eastAsia" w:ascii="Times New Roman" w:hAnsi="Times New Roman" w:eastAsia="宋体"/>
                <w:b w:val="0"/>
                <w:sz w:val="18"/>
                <w:szCs w:val="24"/>
              </w:rPr>
              <w:t>国内外对该技术研究情况简要说明：</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国内，关于碳足迹相关标准正在制定中，没有关于玻璃纤维连续缠绕制品相关碳足迹标准。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项目与国际标准或国外先进标准采用程度的考虑：</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该标准项目目前尚无对应的国际标准或国外先进标准。</w:t>
            </w:r>
          </w:p>
          <w:p>
            <w:pPr>
              <w:numPr>
                <w:ilvl w:val="0"/>
                <w:numId w:val="1"/>
              </w:numPr>
              <w:ind w:left="0" w:leftChars="0" w:firstLine="0" w:firstLineChars="0"/>
              <w:rPr>
                <w:rFonts w:hint="eastAsia" w:ascii="Times New Roman" w:hAnsi="Times New Roman" w:eastAsia="宋体"/>
                <w:b w:val="0"/>
                <w:sz w:val="18"/>
                <w:szCs w:val="24"/>
              </w:rPr>
            </w:pPr>
            <w:r>
              <w:rPr>
                <w:rFonts w:hint="eastAsia" w:ascii="Times New Roman" w:hAnsi="Times New Roman" w:eastAsia="宋体"/>
                <w:b w:val="0"/>
                <w:sz w:val="18"/>
                <w:szCs w:val="24"/>
              </w:rPr>
              <w:t>与国内相关标准间的关系：</w:t>
            </w:r>
            <w:bookmarkStart w:id="0" w:name="_Hlk33710103"/>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该标准将参考ISO14067</w:t>
            </w:r>
            <w:r>
              <w:rPr>
                <w:rFonts w:hint="eastAsia" w:ascii="Times New Roman" w:hAnsi="Times New Roman" w:eastAsia="宋体"/>
                <w:b w:val="0"/>
                <w:sz w:val="18"/>
                <w:szCs w:val="24"/>
              </w:rPr>
              <w:t>《温室气体</w:t>
            </w:r>
            <w:r>
              <w:rPr>
                <w:rFonts w:hint="eastAsia" w:ascii="Times New Roman" w:hAnsi="Times New Roman" w:eastAsia="宋体"/>
                <w:b w:val="0"/>
                <w:sz w:val="18"/>
                <w:szCs w:val="24"/>
              </w:rPr>
              <w:t xml:space="preserve"> 产品碳足迹</w:t>
            </w:r>
            <w:r>
              <w:rPr>
                <w:rFonts w:hint="eastAsia" w:ascii="Times New Roman" w:hAnsi="Times New Roman" w:eastAsia="宋体"/>
                <w:b w:val="0"/>
                <w:sz w:val="18"/>
                <w:szCs w:val="24"/>
              </w:rPr>
              <w:t xml:space="preserve"> 量化要求和指南</w:t>
            </w:r>
            <w:r>
              <w:rPr>
                <w:rFonts w:hint="eastAsia" w:ascii="Times New Roman" w:hAnsi="Times New Roman" w:eastAsia="宋体"/>
                <w:b w:val="0"/>
                <w:sz w:val="18"/>
                <w:szCs w:val="24"/>
              </w:rPr>
              <w:t>》进行相关术语的定义；</w:t>
            </w:r>
          </w:p>
          <w:p>
            <w:pPr>
              <w:ind w:firstLine="360" w:firstLineChars="200"/>
              <w:rPr>
                <w:rFonts w:hint="eastAsia" w:ascii="Times New Roman" w:hAnsi="Times New Roman" w:eastAsia="宋体"/>
                <w:b w:val="0"/>
                <w:sz w:val="18"/>
                <w:szCs w:val="24"/>
              </w:rPr>
            </w:pPr>
            <w:r>
              <w:rPr>
                <w:rFonts w:hint="eastAsia" w:ascii="Times New Roman" w:hAnsi="Times New Roman" w:eastAsia="宋体"/>
                <w:b w:val="0"/>
                <w:sz w:val="18"/>
                <w:szCs w:val="24"/>
              </w:rPr>
              <w:t>该标准将参考PAS2050《商品和服务在生命周期内的温室气体排放评价规范》、DB44∕T 1874《产品碳足迹 产品种类规则 巴氏杀菌乳》的结构及内容开展编制工作。</w:t>
            </w:r>
            <w:bookmarkEnd w:id="0"/>
          </w:p>
          <w:p>
            <w:pPr>
              <w:numPr>
                <w:ilvl w:val="0"/>
                <w:numId w:val="1"/>
              </w:numPr>
              <w:ind w:left="0" w:leftChars="0" w:firstLine="0" w:firstLineChars="0"/>
              <w:rPr>
                <w:rFonts w:hint="eastAsia" w:ascii="宋体" w:hAnsi="宋体" w:eastAsia="宋体"/>
                <w:sz w:val="18"/>
                <w:szCs w:val="18"/>
              </w:rPr>
            </w:pPr>
            <w:bookmarkStart w:id="1" w:name="_GoBack"/>
            <w:bookmarkEnd w:id="1"/>
            <w:r>
              <w:rPr>
                <w:rFonts w:hint="eastAsia" w:ascii="Times New Roman" w:hAnsi="Times New Roman" w:eastAsia="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szCs w:val="18"/>
              </w:rPr>
            </w:pPr>
            <w:r>
              <w:rPr>
                <w:rFonts w:hint="eastAsia" w:ascii="宋体" w:hAnsi="宋体" w:eastAsia="宋体"/>
                <w:szCs w:val="18"/>
              </w:rPr>
              <w:t>牵头单位</w:t>
            </w:r>
          </w:p>
        </w:tc>
        <w:tc>
          <w:tcPr>
            <w:tcW w:w="3972" w:type="dxa"/>
            <w:gridSpan w:val="5"/>
            <w:vAlign w:val="center"/>
          </w:tcPr>
          <w:p>
            <w:pPr>
              <w:snapToGrid w:val="0"/>
              <w:spacing w:line="360" w:lineRule="auto"/>
              <w:jc w:val="center"/>
              <w:rPr>
                <w:rFonts w:hint="eastAsia"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hint="eastAsia" w:ascii="宋体" w:hAnsi="宋体" w:eastAsia="宋体"/>
                <w:sz w:val="18"/>
                <w:szCs w:val="18"/>
              </w:rPr>
            </w:pPr>
          </w:p>
          <w:p>
            <w:pPr>
              <w:snapToGrid w:val="0"/>
              <w:rPr>
                <w:rFonts w:hint="eastAsia"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QyYjgxNDg0ZDhlZWZmYmRiYTc2NzBmYjY1YWYzNWQifQ=="/>
  </w:docVars>
  <w:rsids>
    <w:rsidRoot w:val="009F1940"/>
    <w:rsid w:val="00070E68"/>
    <w:rsid w:val="00126298"/>
    <w:rsid w:val="0031195C"/>
    <w:rsid w:val="00762C08"/>
    <w:rsid w:val="009F1940"/>
    <w:rsid w:val="00AE6150"/>
    <w:rsid w:val="5BA53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9"/>
    <w:pPr>
      <w:keepNext/>
      <w:keepLines/>
      <w:spacing w:line="360" w:lineRule="auto"/>
      <w:outlineLvl w:val="1"/>
    </w:pPr>
    <w:rPr>
      <w:rFonts w:ascii="Arial" w:hAnsi="Arial" w:eastAsia="楷体_GB2312"/>
      <w:b/>
      <w:szCs w:val="2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rPr>
  </w:style>
  <w:style w:type="character" w:customStyle="1" w:styleId="7">
    <w:name w:val="页眉 Char"/>
    <w:basedOn w:val="6"/>
    <w:link w:val="4"/>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1</TotalTime>
  <ScaleCrop>false</ScaleCrop>
  <LinksUpToDate>false</LinksUpToDate>
  <CharactersWithSpaces>636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Lizzy </cp:lastModifiedBy>
  <dcterms:modified xsi:type="dcterms:W3CDTF">2024-01-12T11:21:33Z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DA69337365DD41368FFF7B9AACA155A9_12</vt:lpwstr>
  </property>
</Properties>
</file>